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21D4FA" w14:textId="79CC6880" w:rsidR="00623C5F" w:rsidRPr="00623C5F" w:rsidRDefault="00623C5F" w:rsidP="00623C5F">
      <w:pPr>
        <w:pStyle w:val="CRCoverPage"/>
        <w:tabs>
          <w:tab w:val="right" w:pos="9639"/>
        </w:tabs>
        <w:spacing w:after="0"/>
        <w:rPr>
          <w:b/>
          <w:noProof/>
          <w:sz w:val="24"/>
        </w:rPr>
      </w:pPr>
      <w:r w:rsidRPr="00623C5F">
        <w:rPr>
          <w:b/>
          <w:noProof/>
          <w:sz w:val="24"/>
        </w:rPr>
        <w:t>3GPP TSG-RAN WG2 Meeting #</w:t>
      </w:r>
      <w:r w:rsidR="00A6510B">
        <w:rPr>
          <w:b/>
          <w:noProof/>
          <w:sz w:val="24"/>
        </w:rPr>
        <w:t>100</w:t>
      </w:r>
      <w:r w:rsidRPr="00623C5F">
        <w:rPr>
          <w:b/>
          <w:noProof/>
          <w:sz w:val="24"/>
        </w:rPr>
        <w:tab/>
        <w:t>R2-17</w:t>
      </w:r>
      <w:r w:rsidR="00A6510B">
        <w:rPr>
          <w:b/>
          <w:noProof/>
          <w:sz w:val="24"/>
        </w:rPr>
        <w:t>1</w:t>
      </w:r>
      <w:r w:rsidR="001563D4">
        <w:rPr>
          <w:b/>
          <w:noProof/>
          <w:sz w:val="24"/>
        </w:rPr>
        <w:t>3883</w:t>
      </w:r>
      <w:bookmarkStart w:id="0" w:name="_GoBack"/>
      <w:bookmarkEnd w:id="0"/>
    </w:p>
    <w:p w14:paraId="74C39820" w14:textId="40D9FBFE" w:rsidR="007B48FB" w:rsidRPr="00E225A7" w:rsidRDefault="00A6510B" w:rsidP="00623C5F">
      <w:pPr>
        <w:pStyle w:val="CRCoverPage"/>
        <w:tabs>
          <w:tab w:val="right" w:pos="9639"/>
        </w:tabs>
        <w:spacing w:after="0"/>
        <w:rPr>
          <w:rFonts w:eastAsia="맑은 고딕"/>
          <w:b/>
          <w:i/>
          <w:noProof/>
          <w:sz w:val="24"/>
          <w:lang w:eastAsia="ko-KR"/>
        </w:rPr>
      </w:pPr>
      <w:r>
        <w:rPr>
          <w:b/>
          <w:noProof/>
          <w:sz w:val="24"/>
        </w:rPr>
        <w:t>Reno</w:t>
      </w:r>
      <w:r w:rsidR="00623C5F" w:rsidRPr="00623C5F">
        <w:rPr>
          <w:b/>
          <w:noProof/>
          <w:sz w:val="24"/>
        </w:rPr>
        <w:t xml:space="preserve">, USA, </w:t>
      </w:r>
      <w:r>
        <w:rPr>
          <w:b/>
          <w:noProof/>
          <w:sz w:val="24"/>
        </w:rPr>
        <w:t>27</w:t>
      </w:r>
      <w:r w:rsidRPr="00A6510B">
        <w:rPr>
          <w:b/>
          <w:noProof/>
          <w:sz w:val="24"/>
          <w:vertAlign w:val="superscript"/>
        </w:rPr>
        <w:t>th</w:t>
      </w:r>
      <w:r>
        <w:rPr>
          <w:b/>
          <w:noProof/>
          <w:sz w:val="24"/>
        </w:rPr>
        <w:t xml:space="preserve"> November – 1</w:t>
      </w:r>
      <w:r w:rsidRPr="00A6510B">
        <w:rPr>
          <w:b/>
          <w:noProof/>
          <w:sz w:val="24"/>
          <w:vertAlign w:val="superscript"/>
        </w:rPr>
        <w:t>st</w:t>
      </w:r>
      <w:r>
        <w:rPr>
          <w:b/>
          <w:noProof/>
          <w:sz w:val="24"/>
        </w:rPr>
        <w:t xml:space="preserve"> December</w:t>
      </w:r>
      <w:r w:rsidR="00623C5F" w:rsidRPr="00623C5F">
        <w:rPr>
          <w:b/>
          <w:noProof/>
          <w:sz w:val="24"/>
        </w:rPr>
        <w:t xml:space="preserve"> 2017</w:t>
      </w:r>
      <w:r w:rsidR="007B48FB">
        <w:rPr>
          <w:rFonts w:eastAsia="맑은 고딕" w:hint="eastAsia"/>
          <w:b/>
          <w:noProof/>
          <w:sz w:val="24"/>
          <w:lang w:eastAsia="ko-KR"/>
        </w:rPr>
        <w:tab/>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72EE39C8"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E164A">
        <w:rPr>
          <w:rFonts w:ascii="Arial" w:hAnsi="Arial" w:cs="Arial"/>
          <w:b/>
          <w:noProof/>
          <w:sz w:val="28"/>
          <w:szCs w:val="28"/>
          <w:lang w:val="en-US" w:eastAsia="ko-KR"/>
        </w:rPr>
        <w:t>9.</w:t>
      </w:r>
      <w:r w:rsidR="00C833AE">
        <w:rPr>
          <w:rFonts w:ascii="Arial" w:hAnsi="Arial" w:cs="Arial"/>
          <w:b/>
          <w:noProof/>
          <w:sz w:val="28"/>
          <w:szCs w:val="28"/>
          <w:lang w:val="en-US" w:eastAsia="ko-KR"/>
        </w:rPr>
        <w:t>1</w:t>
      </w:r>
      <w:r w:rsidR="00EE164A">
        <w:rPr>
          <w:rFonts w:ascii="Arial" w:hAnsi="Arial" w:cs="Arial"/>
          <w:b/>
          <w:noProof/>
          <w:sz w:val="28"/>
          <w:szCs w:val="28"/>
          <w:lang w:val="en-US" w:eastAsia="ko-KR"/>
        </w:rPr>
        <w:t>2.2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1A3F20" w:rsidRPr="001A3F20">
        <w:rPr>
          <w:rFonts w:ascii="Arial" w:hAnsi="Arial" w:cs="Arial"/>
          <w:b/>
          <w:noProof/>
          <w:sz w:val="28"/>
          <w:szCs w:val="28"/>
          <w:lang w:val="en-US" w:eastAsia="ko-KR"/>
        </w:rPr>
        <w:t>LTE_unlic-Core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4C7BF9F" w:rsidR="00215D97" w:rsidRPr="00BF3F3C" w:rsidRDefault="005E463B" w:rsidP="009C46A6">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833AE">
        <w:rPr>
          <w:rFonts w:ascii="Arial" w:hAnsi="Arial" w:cs="Arial"/>
          <w:b/>
          <w:noProof/>
          <w:sz w:val="28"/>
          <w:szCs w:val="28"/>
          <w:lang w:val="en-US" w:eastAsia="ko-KR"/>
        </w:rPr>
        <w:t xml:space="preserve">HARQ process ID calcualtion for </w:t>
      </w:r>
      <w:r w:rsidR="00B43E37">
        <w:rPr>
          <w:rFonts w:ascii="Arial" w:hAnsi="Arial" w:cs="Arial"/>
          <w:b/>
          <w:noProof/>
          <w:sz w:val="28"/>
          <w:szCs w:val="28"/>
          <w:lang w:val="en-US" w:eastAsia="ko-KR"/>
        </w:rPr>
        <w:t>AUL</w:t>
      </w:r>
      <w:r w:rsidR="00C833AE">
        <w:rPr>
          <w:rFonts w:ascii="Arial" w:hAnsi="Arial" w:cs="Arial"/>
          <w:b/>
          <w:noProof/>
          <w:sz w:val="28"/>
          <w:szCs w:val="28"/>
          <w:lang w:val="en-US" w:eastAsia="ko-KR"/>
        </w:rPr>
        <w:t xml:space="preserve"> with SkipULTx</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53EDE98E" w14:textId="3214306C" w:rsidR="00284D97" w:rsidRDefault="00C833AE" w:rsidP="00284D97">
      <w:pPr>
        <w:spacing w:after="180" w:line="240" w:lineRule="auto"/>
        <w:jc w:val="left"/>
        <w:rPr>
          <w:rFonts w:eastAsiaTheme="minorEastAsia"/>
          <w:lang w:val="en-US" w:eastAsia="ko-KR"/>
        </w:rPr>
      </w:pPr>
      <w:r>
        <w:rPr>
          <w:rFonts w:eastAsiaTheme="minorEastAsia" w:hint="eastAsia"/>
          <w:lang w:val="en-US" w:eastAsia="ko-KR"/>
        </w:rPr>
        <w:t xml:space="preserve">In </w:t>
      </w:r>
      <w:r>
        <w:rPr>
          <w:rFonts w:eastAsiaTheme="minorEastAsia"/>
          <w:lang w:val="en-US" w:eastAsia="ko-KR"/>
        </w:rPr>
        <w:t>R15 LAA WI, RAN2 is under discussion to support AUL. Although the AUL has not yet been finalized, most of the main characteristics of the AUL would come from SPS</w:t>
      </w:r>
      <w:r w:rsidR="00B43E37">
        <w:rPr>
          <w:rFonts w:eastAsiaTheme="minorEastAsia"/>
          <w:lang w:val="en-US" w:eastAsia="ko-KR"/>
        </w:rPr>
        <w:t xml:space="preserve">, and RAN2 agreed in RAN2#99 to support </w:t>
      </w:r>
      <w:r>
        <w:rPr>
          <w:rFonts w:eastAsiaTheme="minorEastAsia"/>
          <w:i/>
          <w:lang w:val="en-US" w:eastAsia="ko-KR"/>
        </w:rPr>
        <w:t xml:space="preserve">skipping uplink transmission </w:t>
      </w:r>
      <w:r>
        <w:rPr>
          <w:rFonts w:eastAsiaTheme="minorEastAsia"/>
          <w:lang w:val="en-US" w:eastAsia="ko-KR"/>
        </w:rPr>
        <w:t>in AUL.</w:t>
      </w:r>
    </w:p>
    <w:p w14:paraId="4B926FB5" w14:textId="28DB544B" w:rsidR="00B43E37" w:rsidRDefault="00B43E37" w:rsidP="00284D97">
      <w:pPr>
        <w:spacing w:after="180" w:line="240" w:lineRule="auto"/>
        <w:jc w:val="left"/>
        <w:rPr>
          <w:rFonts w:eastAsiaTheme="minorEastAsia"/>
          <w:lang w:val="en-US" w:eastAsia="ko-KR"/>
        </w:rPr>
      </w:pPr>
      <w:r>
        <w:rPr>
          <w:rFonts w:eastAsiaTheme="minorEastAsia"/>
          <w:lang w:val="en-US" w:eastAsia="ko-KR"/>
        </w:rPr>
        <w:t>Some of the agreements related to HARQ and AUL are captured below:</w:t>
      </w:r>
    </w:p>
    <w:p w14:paraId="41339A6B" w14:textId="73B7C87E" w:rsidR="00B43E37" w:rsidRPr="00B43E37" w:rsidRDefault="00B43E37" w:rsidP="00284D97">
      <w:pPr>
        <w:spacing w:after="180" w:line="240" w:lineRule="auto"/>
        <w:jc w:val="left"/>
        <w:rPr>
          <w:rFonts w:eastAsiaTheme="minorEastAsia"/>
          <w:b/>
          <w:lang w:val="en-US" w:eastAsia="ko-KR"/>
        </w:rPr>
      </w:pPr>
      <w:r w:rsidRPr="00B43E37">
        <w:rPr>
          <w:rFonts w:eastAsiaTheme="minorEastAsia"/>
          <w:b/>
          <w:lang w:val="en-US" w:eastAsia="ko-KR"/>
        </w:rPr>
        <w:t>In RAN2#99:</w:t>
      </w:r>
    </w:p>
    <w:p w14:paraId="3CAF7B34" w14:textId="4A913F3B" w:rsidR="00C833AE" w:rsidRDefault="00C833AE" w:rsidP="00C833AE">
      <w:pPr>
        <w:pStyle w:val="Doc-text2"/>
        <w:pBdr>
          <w:top w:val="single" w:sz="4" w:space="1" w:color="auto"/>
          <w:left w:val="single" w:sz="4" w:space="4" w:color="auto"/>
          <w:bottom w:val="single" w:sz="4" w:space="1" w:color="auto"/>
          <w:right w:val="single" w:sz="4" w:space="4" w:color="auto"/>
        </w:pBdr>
      </w:pPr>
      <w:r>
        <w:t>Agreements</w:t>
      </w:r>
      <w:r w:rsidR="00B43E37">
        <w:t>:</w:t>
      </w:r>
    </w:p>
    <w:p w14:paraId="331645F2" w14:textId="77777777" w:rsidR="00C833AE" w:rsidRDefault="00C833AE" w:rsidP="00C833AE">
      <w:pPr>
        <w:pStyle w:val="Doc-text2"/>
        <w:pBdr>
          <w:top w:val="single" w:sz="4" w:space="1" w:color="auto"/>
          <w:left w:val="single" w:sz="4" w:space="4" w:color="auto"/>
          <w:bottom w:val="single" w:sz="4" w:space="1" w:color="auto"/>
          <w:right w:val="single" w:sz="4" w:space="4" w:color="auto"/>
        </w:pBdr>
        <w:rPr>
          <w:lang w:val="en-US"/>
        </w:rPr>
      </w:pPr>
      <w:r w:rsidRPr="00C833AE">
        <w:rPr>
          <w:highlight w:val="yellow"/>
          <w:lang w:val="en-US"/>
        </w:rPr>
        <w:t>1</w:t>
      </w:r>
      <w:r w:rsidRPr="00C833AE">
        <w:rPr>
          <w:highlight w:val="yellow"/>
          <w:lang w:val="en-US"/>
        </w:rPr>
        <w:tab/>
        <w:t>Support UL skipping for AUL i.e. the UE should use AUL resources only when it has data to transmit and UE doesn’t have UL grant. FFS if a threshold is configured.</w:t>
      </w:r>
    </w:p>
    <w:p w14:paraId="78861666" w14:textId="77777777" w:rsidR="00C833AE" w:rsidRDefault="00C833AE" w:rsidP="00C833A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From a RAN2 point of view it is beneficial from spectral efficiency perspective to schedule multiple UEs on the same resources in some scenarios.</w:t>
      </w:r>
    </w:p>
    <w:p w14:paraId="4B163DD1" w14:textId="77777777" w:rsidR="00C833AE" w:rsidRDefault="00C833AE" w:rsidP="00C833AE">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AUL can be configured at the same time in more than one uplink LAA serving cell.</w:t>
      </w:r>
    </w:p>
    <w:p w14:paraId="2F4E5105" w14:textId="77777777" w:rsidR="00C833AE" w:rsidRDefault="00C833AE" w:rsidP="00C833AE">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t>FFS: Introduce an AUL activation/deactivation confirmation supporting confirmation of multiple SPS configurations on multiple serving cells.</w:t>
      </w:r>
    </w:p>
    <w:p w14:paraId="6A86FB57" w14:textId="77777777" w:rsidR="00C833AE" w:rsidRDefault="00C833AE" w:rsidP="00C833AE">
      <w:pPr>
        <w:rPr>
          <w:rFonts w:ascii="Arial" w:hAnsi="Arial" w:cs="Arial"/>
          <w:lang w:val="en-US"/>
        </w:rPr>
      </w:pPr>
    </w:p>
    <w:p w14:paraId="7757AE0D" w14:textId="77777777" w:rsidR="00C833AE" w:rsidRDefault="00C833AE" w:rsidP="00C833AE">
      <w:pPr>
        <w:pStyle w:val="Doc-text2"/>
        <w:pBdr>
          <w:top w:val="single" w:sz="4" w:space="1" w:color="auto"/>
          <w:left w:val="single" w:sz="4" w:space="4" w:color="auto"/>
          <w:bottom w:val="single" w:sz="4" w:space="1" w:color="auto"/>
          <w:right w:val="single" w:sz="4" w:space="4" w:color="auto"/>
        </w:pBdr>
      </w:pPr>
      <w:r>
        <w:t>Agreements:</w:t>
      </w:r>
    </w:p>
    <w:p w14:paraId="79BD2FBE" w14:textId="77777777" w:rsidR="00C833AE" w:rsidRDefault="00C833AE" w:rsidP="00C833AE">
      <w:pPr>
        <w:pStyle w:val="Doc-text2"/>
        <w:pBdr>
          <w:top w:val="single" w:sz="4" w:space="1" w:color="auto"/>
          <w:left w:val="single" w:sz="4" w:space="4" w:color="auto"/>
          <w:bottom w:val="single" w:sz="4" w:space="1" w:color="auto"/>
          <w:right w:val="single" w:sz="4" w:space="4" w:color="auto"/>
        </w:pBdr>
        <w:rPr>
          <w:lang w:val="en-US"/>
        </w:rPr>
      </w:pPr>
      <w:r w:rsidRPr="00B43E37">
        <w:rPr>
          <w:highlight w:val="yellow"/>
          <w:lang w:val="en-US"/>
        </w:rPr>
        <w:t>1</w:t>
      </w:r>
      <w:r w:rsidRPr="00B43E37">
        <w:rPr>
          <w:highlight w:val="yellow"/>
          <w:lang w:val="en-US"/>
        </w:rPr>
        <w:tab/>
        <w:t>From RAN2 perspective, the HARQ protocol for the LAA autonomous uplink access should support asynchronous HARQ retransmissions similar to legacy LAA HARQ.</w:t>
      </w:r>
    </w:p>
    <w:p w14:paraId="69DD7226" w14:textId="77777777" w:rsidR="00C833AE" w:rsidRDefault="00C833AE" w:rsidP="00C833AE">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It is FFS, the UE behavior upon reception (or not reception) of an HARQ feedback.</w:t>
      </w:r>
    </w:p>
    <w:p w14:paraId="6F710BD2" w14:textId="77777777" w:rsidR="00C833AE" w:rsidRPr="00B43E37" w:rsidRDefault="00C833AE" w:rsidP="00B43E37">
      <w:pPr>
        <w:spacing w:after="180" w:line="240" w:lineRule="auto"/>
        <w:jc w:val="left"/>
        <w:rPr>
          <w:rFonts w:eastAsiaTheme="minorEastAsia"/>
          <w:lang w:val="en-US" w:eastAsia="ko-KR"/>
        </w:rPr>
      </w:pPr>
    </w:p>
    <w:p w14:paraId="6C9390DE" w14:textId="17A8F48D" w:rsidR="00B43E37" w:rsidRPr="00B43E37" w:rsidRDefault="00B43E37" w:rsidP="00B43E37">
      <w:pPr>
        <w:spacing w:after="180" w:line="240" w:lineRule="auto"/>
        <w:jc w:val="left"/>
        <w:rPr>
          <w:rFonts w:eastAsiaTheme="minorEastAsia"/>
          <w:b/>
          <w:lang w:val="en-US" w:eastAsia="ko-KR"/>
        </w:rPr>
      </w:pPr>
      <w:r w:rsidRPr="00B43E37">
        <w:rPr>
          <w:rFonts w:eastAsiaTheme="minorEastAsia" w:hint="eastAsia"/>
          <w:b/>
          <w:lang w:val="en-US" w:eastAsia="ko-KR"/>
        </w:rPr>
        <w:t>I</w:t>
      </w:r>
      <w:r w:rsidRPr="00B43E37">
        <w:rPr>
          <w:rFonts w:eastAsiaTheme="minorEastAsia"/>
          <w:b/>
          <w:lang w:val="en-US" w:eastAsia="ko-KR"/>
        </w:rPr>
        <w:t>n RAN2#99bis:</w:t>
      </w:r>
    </w:p>
    <w:p w14:paraId="75A626DE" w14:textId="77777777" w:rsidR="00C833AE" w:rsidRDefault="00C833AE" w:rsidP="00C833AE">
      <w:pPr>
        <w:pStyle w:val="Doc-text2"/>
        <w:pBdr>
          <w:top w:val="single" w:sz="4" w:space="1" w:color="auto"/>
          <w:left w:val="single" w:sz="4" w:space="4" w:color="auto"/>
          <w:bottom w:val="single" w:sz="4" w:space="1" w:color="auto"/>
          <w:right w:val="single" w:sz="4" w:space="4" w:color="auto"/>
        </w:pBdr>
      </w:pPr>
      <w:r>
        <w:t>5</w:t>
      </w:r>
      <w:r>
        <w:tab/>
        <w:t>In the LAA autonomous UL access, HARQ processes are not tied to TTIs.</w:t>
      </w:r>
    </w:p>
    <w:p w14:paraId="1617E3F6" w14:textId="77777777" w:rsidR="00C833AE" w:rsidRDefault="00C833AE" w:rsidP="00284D97">
      <w:pPr>
        <w:spacing w:after="180" w:line="240" w:lineRule="auto"/>
        <w:jc w:val="left"/>
        <w:rPr>
          <w:rFonts w:eastAsiaTheme="minorEastAsia"/>
          <w:lang w:eastAsia="ko-KR"/>
        </w:rPr>
      </w:pPr>
    </w:p>
    <w:p w14:paraId="2FAC9C7F" w14:textId="52B42F7F" w:rsidR="00B43E37" w:rsidRPr="00C833AE" w:rsidRDefault="00B43E37" w:rsidP="00284D97">
      <w:pPr>
        <w:spacing w:after="180" w:line="240" w:lineRule="auto"/>
        <w:jc w:val="left"/>
        <w:rPr>
          <w:rFonts w:eastAsiaTheme="minorEastAsia"/>
          <w:lang w:eastAsia="ko-KR"/>
        </w:rPr>
      </w:pPr>
      <w:r>
        <w:rPr>
          <w:rFonts w:eastAsiaTheme="minorEastAsia" w:hint="eastAsia"/>
          <w:lang w:eastAsia="ko-KR"/>
        </w:rPr>
        <w:t>In this contribution, we discuss how to calculate the HARQ process ID for AUL.</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6A21AC81" w14:textId="77777777" w:rsidR="00C833AE" w:rsidRDefault="00C833AE" w:rsidP="00C833AE">
      <w:pPr>
        <w:spacing w:after="180" w:line="240" w:lineRule="auto"/>
        <w:rPr>
          <w:bCs/>
          <w:lang w:val="en-US" w:eastAsia="ko-KR"/>
        </w:rPr>
      </w:pPr>
      <w:r>
        <w:rPr>
          <w:bCs/>
          <w:lang w:val="en-US" w:eastAsia="ko-KR"/>
        </w:rPr>
        <w:t xml:space="preserve">In LTE, SPS in asynchronous HARQ has been introduced for MTC/NB-IoT. However, it has not considered </w:t>
      </w:r>
      <w:r>
        <w:rPr>
          <w:bCs/>
          <w:i/>
          <w:lang w:val="en-US" w:eastAsia="ko-KR"/>
        </w:rPr>
        <w:t>skipping uplink transmission</w:t>
      </w:r>
      <w:r>
        <w:rPr>
          <w:bCs/>
          <w:lang w:val="en-US" w:eastAsia="ko-KR"/>
        </w:rPr>
        <w:t>. Accordingly, if a TTI is associated with a HARQ process ID, it means that there is uplink resource for that TTI and the UE transmits in uplink, i.e., the UE does not skip uplink transmission. On the other hand, if a TTI is not associated with a HARQ process ID, it means that there is no uplink resource for that TTI, and hence, the UE doesn’t transmit in uplink.</w:t>
      </w:r>
    </w:p>
    <w:p w14:paraId="28E3BFD5" w14:textId="3269290D" w:rsidR="00C833AE" w:rsidRDefault="00C833AE" w:rsidP="00C833AE">
      <w:pPr>
        <w:spacing w:after="180" w:line="240" w:lineRule="auto"/>
        <w:rPr>
          <w:bCs/>
          <w:lang w:val="en-US" w:eastAsia="ko-KR"/>
        </w:rPr>
      </w:pPr>
      <w:r>
        <w:rPr>
          <w:bCs/>
          <w:lang w:val="en-US" w:eastAsia="ko-KR"/>
        </w:rPr>
        <w:t xml:space="preserve">In </w:t>
      </w:r>
      <w:r w:rsidR="00B43E37">
        <w:rPr>
          <w:bCs/>
          <w:lang w:val="en-US" w:eastAsia="ko-KR"/>
        </w:rPr>
        <w:t>R15 LAA</w:t>
      </w:r>
      <w:r>
        <w:rPr>
          <w:bCs/>
          <w:lang w:val="en-US" w:eastAsia="ko-KR"/>
        </w:rPr>
        <w:t xml:space="preserve">, </w:t>
      </w:r>
      <w:r w:rsidR="00B43E37">
        <w:rPr>
          <w:bCs/>
          <w:lang w:val="en-US" w:eastAsia="ko-KR"/>
        </w:rPr>
        <w:t>AUL</w:t>
      </w:r>
      <w:r>
        <w:rPr>
          <w:bCs/>
          <w:lang w:val="en-US" w:eastAsia="ko-KR"/>
        </w:rPr>
        <w:t xml:space="preserve"> is to be always used in asynchronous HARQ with </w:t>
      </w:r>
      <w:r>
        <w:rPr>
          <w:bCs/>
          <w:i/>
          <w:lang w:val="en-US" w:eastAsia="ko-KR"/>
        </w:rPr>
        <w:t>skipping uplink transmission</w:t>
      </w:r>
      <w:r>
        <w:rPr>
          <w:bCs/>
          <w:lang w:val="en-US" w:eastAsia="ko-KR"/>
        </w:rPr>
        <w:t>. As a result, we now have a case where there is uplink resource for a TTI but the UE doesn’t transmit in uplink, i.e., the UE skips uplink transmission. Therefore, we need to first decide how to associate a HARQ process for a TTI in this case. Two options are:</w:t>
      </w:r>
    </w:p>
    <w:p w14:paraId="44432898" w14:textId="77777777" w:rsidR="00C833AE" w:rsidRDefault="00C833AE" w:rsidP="00C833AE">
      <w:pPr>
        <w:pStyle w:val="a6"/>
        <w:numPr>
          <w:ilvl w:val="0"/>
          <w:numId w:val="23"/>
        </w:numPr>
        <w:spacing w:after="180" w:line="240" w:lineRule="auto"/>
        <w:ind w:leftChars="0"/>
        <w:rPr>
          <w:bCs/>
          <w:lang w:val="en-US" w:eastAsia="ko-KR"/>
        </w:rPr>
      </w:pPr>
      <w:r>
        <w:rPr>
          <w:rFonts w:hint="eastAsia"/>
          <w:bCs/>
          <w:lang w:val="en-US" w:eastAsia="ko-KR"/>
        </w:rPr>
        <w:lastRenderedPageBreak/>
        <w:t xml:space="preserve">Option 1. </w:t>
      </w:r>
      <w:r>
        <w:rPr>
          <w:bCs/>
          <w:lang w:val="en-US" w:eastAsia="ko-KR"/>
        </w:rPr>
        <w:t>Associate a HARQ process ID to a TTI only when there is uplink resource and the UE transmits in uplink on that TTI</w:t>
      </w:r>
    </w:p>
    <w:p w14:paraId="5F791D5E" w14:textId="77777777" w:rsidR="00C833AE" w:rsidRDefault="00C833AE" w:rsidP="00C833AE">
      <w:pPr>
        <w:pStyle w:val="a6"/>
        <w:numPr>
          <w:ilvl w:val="0"/>
          <w:numId w:val="23"/>
        </w:numPr>
        <w:spacing w:after="180" w:line="240" w:lineRule="auto"/>
        <w:ind w:leftChars="0"/>
        <w:rPr>
          <w:bCs/>
          <w:lang w:val="en-US" w:eastAsia="ko-KR"/>
        </w:rPr>
      </w:pPr>
      <w:r>
        <w:rPr>
          <w:bCs/>
          <w:lang w:val="en-US" w:eastAsia="ko-KR"/>
        </w:rPr>
        <w:t>Option 2. Associate a HARQ process ID to a TTI when there is uplink resource on that TTI regardless of whether the UE transmits in uplink or not on that TTI</w:t>
      </w:r>
    </w:p>
    <w:p w14:paraId="44688A4C" w14:textId="2E1BD71B" w:rsidR="00C833AE" w:rsidRDefault="00C833AE" w:rsidP="00C833AE">
      <w:pPr>
        <w:spacing w:after="180" w:line="240" w:lineRule="auto"/>
        <w:rPr>
          <w:bCs/>
          <w:lang w:val="en-US" w:eastAsia="ko-KR"/>
        </w:rPr>
      </w:pPr>
      <w:r>
        <w:rPr>
          <w:rFonts w:hint="eastAsia"/>
          <w:bCs/>
          <w:lang w:val="en-US" w:eastAsia="ko-KR"/>
        </w:rPr>
        <w:t>I</w:t>
      </w:r>
      <w:r>
        <w:rPr>
          <w:bCs/>
          <w:lang w:val="en-US" w:eastAsia="ko-KR"/>
        </w:rPr>
        <w:t xml:space="preserve">n Option 1, the UE treats a TTI where the UE skips uplink transmission as if there is no uplink resource for that TTI. Accordingly, the UE does not associate HARQ process ID to the TTI if the UE skips uplink transmission. In other words, the HARQ process ID is associated to a TTI only when the UE actually transmits in uplink. Given that HARQ process ID for </w:t>
      </w:r>
      <w:r w:rsidR="00B43E37">
        <w:rPr>
          <w:bCs/>
          <w:lang w:val="en-US" w:eastAsia="ko-KR"/>
        </w:rPr>
        <w:t>AUL</w:t>
      </w:r>
      <w:r>
        <w:rPr>
          <w:bCs/>
          <w:lang w:val="en-US" w:eastAsia="ko-KR"/>
        </w:rPr>
        <w:t xml:space="preserve"> transmission would be sequentially increased, if the network is able to know the HARQ process ID used for uplink transmission, the network would easily differentiate </w:t>
      </w:r>
      <w:r>
        <w:rPr>
          <w:bCs/>
          <w:i/>
          <w:lang w:val="en-US" w:eastAsia="ko-KR"/>
        </w:rPr>
        <w:t xml:space="preserve">failure </w:t>
      </w:r>
      <w:r>
        <w:rPr>
          <w:bCs/>
          <w:lang w:val="en-US" w:eastAsia="ko-KR"/>
        </w:rPr>
        <w:t xml:space="preserve">and </w:t>
      </w:r>
      <w:r>
        <w:rPr>
          <w:bCs/>
          <w:i/>
          <w:lang w:val="en-US" w:eastAsia="ko-KR"/>
        </w:rPr>
        <w:t xml:space="preserve">skipping </w:t>
      </w:r>
      <w:r>
        <w:rPr>
          <w:bCs/>
          <w:lang w:val="en-US" w:eastAsia="ko-KR"/>
        </w:rPr>
        <w:t xml:space="preserve">because missing HARQ process ID always means </w:t>
      </w:r>
      <w:r>
        <w:rPr>
          <w:bCs/>
          <w:i/>
          <w:lang w:val="en-US" w:eastAsia="ko-KR"/>
        </w:rPr>
        <w:t>failure</w:t>
      </w:r>
      <w:r>
        <w:rPr>
          <w:bCs/>
          <w:lang w:val="en-US" w:eastAsia="ko-KR"/>
        </w:rPr>
        <w:t xml:space="preserve">. </w:t>
      </w:r>
    </w:p>
    <w:p w14:paraId="798E55B4" w14:textId="6BFF886D" w:rsidR="00C833AE" w:rsidRDefault="00C833AE" w:rsidP="00C833AE">
      <w:pPr>
        <w:spacing w:after="180" w:line="240" w:lineRule="auto"/>
        <w:rPr>
          <w:bCs/>
          <w:lang w:val="en-US" w:eastAsia="ko-KR"/>
        </w:rPr>
      </w:pPr>
      <w:r>
        <w:rPr>
          <w:bCs/>
          <w:lang w:val="en-US" w:eastAsia="ko-KR"/>
        </w:rPr>
        <w:t>An example is shown in Figure 1. On the 1</w:t>
      </w:r>
      <w:r w:rsidRPr="00A26082">
        <w:rPr>
          <w:bCs/>
          <w:vertAlign w:val="superscript"/>
          <w:lang w:val="en-US" w:eastAsia="ko-KR"/>
        </w:rPr>
        <w:t>st</w:t>
      </w:r>
      <w:r>
        <w:rPr>
          <w:bCs/>
          <w:lang w:val="en-US" w:eastAsia="ko-KR"/>
        </w:rPr>
        <w:t xml:space="preserve"> </w:t>
      </w:r>
      <w:r w:rsidR="00B43E37">
        <w:rPr>
          <w:bCs/>
          <w:lang w:val="en-US" w:eastAsia="ko-KR"/>
        </w:rPr>
        <w:t>AUL</w:t>
      </w:r>
      <w:r>
        <w:rPr>
          <w:bCs/>
          <w:lang w:val="en-US" w:eastAsia="ko-KR"/>
        </w:rPr>
        <w:t>, the UE transmits in uplink and allocates a HARQ process ID1. On the 2</w:t>
      </w:r>
      <w:r w:rsidRPr="00E24A93">
        <w:rPr>
          <w:bCs/>
          <w:vertAlign w:val="superscript"/>
          <w:lang w:val="en-US" w:eastAsia="ko-KR"/>
        </w:rPr>
        <w:t>nd</w:t>
      </w:r>
      <w:r>
        <w:rPr>
          <w:bCs/>
          <w:lang w:val="en-US" w:eastAsia="ko-KR"/>
        </w:rPr>
        <w:t xml:space="preserve"> </w:t>
      </w:r>
      <w:r w:rsidR="00B43E37">
        <w:rPr>
          <w:bCs/>
          <w:lang w:val="en-US" w:eastAsia="ko-KR"/>
        </w:rPr>
        <w:t>AUL</w:t>
      </w:r>
      <w:r>
        <w:rPr>
          <w:bCs/>
          <w:lang w:val="en-US" w:eastAsia="ko-KR"/>
        </w:rPr>
        <w:t>, the UE skips in uplink and hence the UE doesn’t allocates a HARQ process ID. On the 3</w:t>
      </w:r>
      <w:r w:rsidRPr="00E24A93">
        <w:rPr>
          <w:bCs/>
          <w:vertAlign w:val="superscript"/>
          <w:lang w:val="en-US" w:eastAsia="ko-KR"/>
        </w:rPr>
        <w:t>rd</w:t>
      </w:r>
      <w:r>
        <w:rPr>
          <w:bCs/>
          <w:lang w:val="en-US" w:eastAsia="ko-KR"/>
        </w:rPr>
        <w:t xml:space="preserve"> </w:t>
      </w:r>
      <w:r w:rsidR="00B43E37">
        <w:rPr>
          <w:bCs/>
          <w:lang w:val="en-US" w:eastAsia="ko-KR"/>
        </w:rPr>
        <w:t>AUL</w:t>
      </w:r>
      <w:r>
        <w:rPr>
          <w:bCs/>
          <w:lang w:val="en-US" w:eastAsia="ko-KR"/>
        </w:rPr>
        <w:t xml:space="preserve">, the UE transmits in uplink and hence the UE allocates a HARQ process ID2, but the network doesn’t successfully receive. At this point in time, the network may not be able to differentiate </w:t>
      </w:r>
      <w:r>
        <w:rPr>
          <w:bCs/>
          <w:i/>
          <w:lang w:val="en-US" w:eastAsia="ko-KR"/>
        </w:rPr>
        <w:t xml:space="preserve">failure </w:t>
      </w:r>
      <w:r>
        <w:rPr>
          <w:bCs/>
          <w:lang w:val="en-US" w:eastAsia="ko-KR"/>
        </w:rPr>
        <w:t xml:space="preserve">and </w:t>
      </w:r>
      <w:r>
        <w:rPr>
          <w:bCs/>
          <w:i/>
          <w:lang w:val="en-US" w:eastAsia="ko-KR"/>
        </w:rPr>
        <w:t xml:space="preserve">skipping </w:t>
      </w:r>
      <w:r>
        <w:rPr>
          <w:bCs/>
          <w:lang w:val="en-US" w:eastAsia="ko-KR"/>
        </w:rPr>
        <w:t>correctly. On the 4</w:t>
      </w:r>
      <w:r w:rsidRPr="00E24A93">
        <w:rPr>
          <w:bCs/>
          <w:vertAlign w:val="superscript"/>
          <w:lang w:val="en-US" w:eastAsia="ko-KR"/>
        </w:rPr>
        <w:t>th</w:t>
      </w:r>
      <w:r>
        <w:rPr>
          <w:bCs/>
          <w:lang w:val="en-US" w:eastAsia="ko-KR"/>
        </w:rPr>
        <w:t xml:space="preserve"> </w:t>
      </w:r>
      <w:r w:rsidR="00B43E37">
        <w:rPr>
          <w:bCs/>
          <w:lang w:val="en-US" w:eastAsia="ko-KR"/>
        </w:rPr>
        <w:t>AUL</w:t>
      </w:r>
      <w:r>
        <w:rPr>
          <w:bCs/>
          <w:lang w:val="en-US" w:eastAsia="ko-KR"/>
        </w:rPr>
        <w:t>, the UE transmits in uplink and associates a HARQ allocates ID3. The network successfully receives and detects missing HARQ process ID2. Then the network knows that transmission with HARQ process ID2 fails.</w:t>
      </w:r>
    </w:p>
    <w:p w14:paraId="647AE142" w14:textId="08FAB295" w:rsidR="00C833AE" w:rsidRDefault="00B43E37" w:rsidP="00C833AE">
      <w:pPr>
        <w:keepNext/>
        <w:spacing w:after="180" w:line="240" w:lineRule="auto"/>
        <w:jc w:val="center"/>
      </w:pPr>
      <w:r>
        <w:rPr>
          <w:noProof/>
          <w:lang w:val="en-US" w:eastAsia="ko-KR"/>
        </w:rPr>
        <w:drawing>
          <wp:inline distT="0" distB="0" distL="0" distR="0" wp14:anchorId="688CA620" wp14:editId="74B28CD9">
            <wp:extent cx="3960000" cy="1094634"/>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000" cy="1094634"/>
                    </a:xfrm>
                    <a:prstGeom prst="rect">
                      <a:avLst/>
                    </a:prstGeom>
                    <a:noFill/>
                  </pic:spPr>
                </pic:pic>
              </a:graphicData>
            </a:graphic>
          </wp:inline>
        </w:drawing>
      </w:r>
    </w:p>
    <w:p w14:paraId="59209F61" w14:textId="77777777" w:rsidR="00C833AE" w:rsidRDefault="00C833AE" w:rsidP="00C833AE">
      <w:pPr>
        <w:pStyle w:val="ac"/>
        <w:jc w:val="center"/>
        <w:rPr>
          <w:bCs w:val="0"/>
          <w:lang w:val="en-US" w:eastAsia="ko-KR"/>
        </w:rPr>
      </w:pPr>
      <w:r>
        <w:t xml:space="preserve">Figure </w:t>
      </w:r>
      <w:r>
        <w:fldChar w:fldCharType="begin"/>
      </w:r>
      <w:r>
        <w:instrText xml:space="preserve"> SEQ Figure \* ARABIC </w:instrText>
      </w:r>
      <w:r>
        <w:fldChar w:fldCharType="separate"/>
      </w:r>
      <w:r>
        <w:rPr>
          <w:noProof/>
        </w:rPr>
        <w:t>1</w:t>
      </w:r>
      <w:r>
        <w:fldChar w:fldCharType="end"/>
      </w:r>
      <w:r>
        <w:t>. An example of Option 1</w:t>
      </w:r>
    </w:p>
    <w:p w14:paraId="538F367C" w14:textId="77777777" w:rsidR="00C833AE" w:rsidRDefault="00C833AE" w:rsidP="00C833AE">
      <w:pPr>
        <w:spacing w:after="180" w:line="240" w:lineRule="auto"/>
        <w:rPr>
          <w:bCs/>
          <w:lang w:val="en-US" w:eastAsia="ko-KR"/>
        </w:rPr>
      </w:pPr>
      <w:r>
        <w:rPr>
          <w:rFonts w:hint="eastAsia"/>
          <w:bCs/>
          <w:lang w:val="en-US" w:eastAsia="ko-KR"/>
        </w:rPr>
        <w:t>I</w:t>
      </w:r>
      <w:r>
        <w:rPr>
          <w:bCs/>
          <w:lang w:val="en-US" w:eastAsia="ko-KR"/>
        </w:rPr>
        <w:t xml:space="preserve">n Option 2, the UE associates a HARQ process ID to a TTI regardless of whether the UE actually transmits in uplink or not. Therefore, missing HARQ process ID could be due to either </w:t>
      </w:r>
      <w:r>
        <w:rPr>
          <w:bCs/>
          <w:i/>
          <w:lang w:val="en-US" w:eastAsia="ko-KR"/>
        </w:rPr>
        <w:t>failure</w:t>
      </w:r>
      <w:r>
        <w:rPr>
          <w:bCs/>
          <w:lang w:val="en-US" w:eastAsia="ko-KR"/>
        </w:rPr>
        <w:t xml:space="preserve"> or </w:t>
      </w:r>
      <w:r>
        <w:rPr>
          <w:bCs/>
          <w:i/>
          <w:lang w:val="en-US" w:eastAsia="ko-KR"/>
        </w:rPr>
        <w:t>skipping</w:t>
      </w:r>
      <w:r>
        <w:t xml:space="preserve"> and</w:t>
      </w:r>
      <w:r>
        <w:rPr>
          <w:bCs/>
          <w:lang w:val="en-US" w:eastAsia="ko-KR"/>
        </w:rPr>
        <w:t xml:space="preserve"> it is of no use for the network to know the HARQ process ID used for uplink transmission. It would ease the HARQ process ID derivation for the UE because the UE doesn’t need to take care of skipping but the UE associates the HARQ process ID to a TTI if there is uplink resource on that TTI.</w:t>
      </w:r>
    </w:p>
    <w:p w14:paraId="382A229E" w14:textId="7E6DD338" w:rsidR="00C833AE" w:rsidRDefault="00C833AE" w:rsidP="00C833AE">
      <w:pPr>
        <w:spacing w:after="180" w:line="240" w:lineRule="auto"/>
        <w:rPr>
          <w:bCs/>
          <w:lang w:val="en-US" w:eastAsia="ko-KR"/>
        </w:rPr>
      </w:pPr>
      <w:r>
        <w:rPr>
          <w:bCs/>
          <w:lang w:val="en-US" w:eastAsia="ko-KR"/>
        </w:rPr>
        <w:t>An example is shown in Figure 2. On the 1</w:t>
      </w:r>
      <w:r w:rsidRPr="00A26082">
        <w:rPr>
          <w:bCs/>
          <w:vertAlign w:val="superscript"/>
          <w:lang w:val="en-US" w:eastAsia="ko-KR"/>
        </w:rPr>
        <w:t>st</w:t>
      </w:r>
      <w:r>
        <w:rPr>
          <w:bCs/>
          <w:lang w:val="en-US" w:eastAsia="ko-KR"/>
        </w:rPr>
        <w:t xml:space="preserve"> </w:t>
      </w:r>
      <w:r w:rsidR="00B43E37">
        <w:rPr>
          <w:bCs/>
          <w:lang w:val="en-US" w:eastAsia="ko-KR"/>
        </w:rPr>
        <w:t>AUL</w:t>
      </w:r>
      <w:r>
        <w:rPr>
          <w:bCs/>
          <w:lang w:val="en-US" w:eastAsia="ko-KR"/>
        </w:rPr>
        <w:t>, the UE transmits in uplink and allocates a HARQ process ID1. On the 2</w:t>
      </w:r>
      <w:r w:rsidRPr="00E24A93">
        <w:rPr>
          <w:bCs/>
          <w:vertAlign w:val="superscript"/>
          <w:lang w:val="en-US" w:eastAsia="ko-KR"/>
        </w:rPr>
        <w:t>nd</w:t>
      </w:r>
      <w:r>
        <w:rPr>
          <w:bCs/>
          <w:lang w:val="en-US" w:eastAsia="ko-KR"/>
        </w:rPr>
        <w:t xml:space="preserve"> </w:t>
      </w:r>
      <w:r w:rsidR="00B43E37">
        <w:rPr>
          <w:bCs/>
          <w:lang w:val="en-US" w:eastAsia="ko-KR"/>
        </w:rPr>
        <w:t>AUL</w:t>
      </w:r>
      <w:r>
        <w:rPr>
          <w:bCs/>
          <w:lang w:val="en-US" w:eastAsia="ko-KR"/>
        </w:rPr>
        <w:t>, the UE skips in uplink but allocates a HARQ process ID2. On the 3</w:t>
      </w:r>
      <w:r w:rsidRPr="00E24A93">
        <w:rPr>
          <w:bCs/>
          <w:vertAlign w:val="superscript"/>
          <w:lang w:val="en-US" w:eastAsia="ko-KR"/>
        </w:rPr>
        <w:t>rd</w:t>
      </w:r>
      <w:r>
        <w:rPr>
          <w:bCs/>
          <w:lang w:val="en-US" w:eastAsia="ko-KR"/>
        </w:rPr>
        <w:t xml:space="preserve"> </w:t>
      </w:r>
      <w:r w:rsidR="00B43E37">
        <w:rPr>
          <w:bCs/>
          <w:lang w:val="en-US" w:eastAsia="ko-KR"/>
        </w:rPr>
        <w:t>AUL</w:t>
      </w:r>
      <w:r>
        <w:rPr>
          <w:bCs/>
          <w:lang w:val="en-US" w:eastAsia="ko-KR"/>
        </w:rPr>
        <w:t>, the UE transmits in uplink and allocates a HARQ process ID3, but the network doesn’t successfully receive. On the 4</w:t>
      </w:r>
      <w:r w:rsidRPr="00E24A93">
        <w:rPr>
          <w:bCs/>
          <w:vertAlign w:val="superscript"/>
          <w:lang w:val="en-US" w:eastAsia="ko-KR"/>
        </w:rPr>
        <w:t>th</w:t>
      </w:r>
      <w:r>
        <w:rPr>
          <w:bCs/>
          <w:lang w:val="en-US" w:eastAsia="ko-KR"/>
        </w:rPr>
        <w:t xml:space="preserve"> </w:t>
      </w:r>
      <w:r w:rsidR="00B43E37">
        <w:rPr>
          <w:bCs/>
          <w:lang w:val="en-US" w:eastAsia="ko-KR"/>
        </w:rPr>
        <w:t>AUL</w:t>
      </w:r>
      <w:r>
        <w:rPr>
          <w:bCs/>
          <w:lang w:val="en-US" w:eastAsia="ko-KR"/>
        </w:rPr>
        <w:t>, the UE transmits in uplink and allocates a HARQ process ID4. The network successfully receives and detects missing HARQ process ID2 and 3. However, the network may not be able to tell which HARQ process transmission is unsuccessful.</w:t>
      </w:r>
    </w:p>
    <w:p w14:paraId="437ECCA2" w14:textId="3A6BEE87" w:rsidR="00C833AE" w:rsidRDefault="00B43E37" w:rsidP="00C833AE">
      <w:pPr>
        <w:keepNext/>
        <w:spacing w:after="180" w:line="240" w:lineRule="auto"/>
        <w:jc w:val="center"/>
      </w:pPr>
      <w:r>
        <w:rPr>
          <w:noProof/>
          <w:lang w:val="en-US" w:eastAsia="ko-KR"/>
        </w:rPr>
        <w:drawing>
          <wp:inline distT="0" distB="0" distL="0" distR="0" wp14:anchorId="324E640A" wp14:editId="7EE3CEAB">
            <wp:extent cx="3960000" cy="96736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967369"/>
                    </a:xfrm>
                    <a:prstGeom prst="rect">
                      <a:avLst/>
                    </a:prstGeom>
                    <a:noFill/>
                  </pic:spPr>
                </pic:pic>
              </a:graphicData>
            </a:graphic>
          </wp:inline>
        </w:drawing>
      </w:r>
    </w:p>
    <w:p w14:paraId="727D3665" w14:textId="77777777" w:rsidR="00C833AE" w:rsidRDefault="00C833AE" w:rsidP="00C833AE">
      <w:pPr>
        <w:pStyle w:val="ac"/>
        <w:jc w:val="center"/>
        <w:rPr>
          <w:bCs w:val="0"/>
          <w:lang w:val="en-US" w:eastAsia="ko-KR"/>
        </w:rPr>
      </w:pPr>
      <w:r>
        <w:t xml:space="preserve">Figure </w:t>
      </w:r>
      <w:r>
        <w:fldChar w:fldCharType="begin"/>
      </w:r>
      <w:r>
        <w:instrText xml:space="preserve"> SEQ Figure \* ARABIC </w:instrText>
      </w:r>
      <w:r>
        <w:fldChar w:fldCharType="separate"/>
      </w:r>
      <w:r>
        <w:rPr>
          <w:noProof/>
        </w:rPr>
        <w:t>2</w:t>
      </w:r>
      <w:r>
        <w:fldChar w:fldCharType="end"/>
      </w:r>
      <w:r>
        <w:t>. An example of Option 2</w:t>
      </w:r>
    </w:p>
    <w:p w14:paraId="489CAED6" w14:textId="77777777" w:rsidR="00C833AE" w:rsidRDefault="00C833AE" w:rsidP="00C833AE">
      <w:pPr>
        <w:spacing w:after="180" w:line="240" w:lineRule="auto"/>
        <w:rPr>
          <w:bCs/>
          <w:lang w:val="en-US" w:eastAsia="ko-KR"/>
        </w:rPr>
      </w:pPr>
      <w:r>
        <w:rPr>
          <w:rFonts w:hint="eastAsia"/>
          <w:bCs/>
          <w:lang w:val="en-US" w:eastAsia="ko-KR"/>
        </w:rPr>
        <w:t xml:space="preserve">Option 1 would be better from DTX error performance point </w:t>
      </w:r>
      <w:r>
        <w:rPr>
          <w:bCs/>
          <w:lang w:val="en-US" w:eastAsia="ko-KR"/>
        </w:rPr>
        <w:t>of view because the network can explicitly know which HARQ process transmission fails. However, it would require for the UE to indicate the HARQ process ID used for uplink transmission, which needs to be included in PHY. Option 2 would ease the HARQ process ID derivation for the UE but it would require additional handling for the cases that would happen due to DTX error.</w:t>
      </w:r>
    </w:p>
    <w:p w14:paraId="3DEC222E" w14:textId="4905B09D" w:rsidR="00C833AE" w:rsidRPr="00583C76" w:rsidRDefault="00C833AE" w:rsidP="00C833AE">
      <w:pPr>
        <w:spacing w:after="180" w:line="240" w:lineRule="auto"/>
        <w:rPr>
          <w:b/>
          <w:bCs/>
          <w:lang w:val="en-US" w:eastAsia="ko-KR"/>
        </w:rPr>
      </w:pPr>
      <w:r>
        <w:rPr>
          <w:b/>
          <w:bCs/>
          <w:lang w:val="en-US" w:eastAsia="ko-KR"/>
        </w:rPr>
        <w:t xml:space="preserve">Proposal. </w:t>
      </w:r>
      <w:r w:rsidRPr="00016D86">
        <w:rPr>
          <w:bCs/>
          <w:lang w:val="en-US" w:eastAsia="ko-KR"/>
        </w:rPr>
        <w:t xml:space="preserve">To discuss whether </w:t>
      </w:r>
      <w:r>
        <w:rPr>
          <w:bCs/>
          <w:lang w:val="en-US" w:eastAsia="ko-KR"/>
        </w:rPr>
        <w:t xml:space="preserve">a </w:t>
      </w:r>
      <w:r w:rsidRPr="00016D86">
        <w:rPr>
          <w:bCs/>
          <w:lang w:val="en-US" w:eastAsia="ko-KR"/>
        </w:rPr>
        <w:t>HARQ process ID is associated to a TTI even if the UE skips uplink transmission on that TTI.</w:t>
      </w:r>
    </w:p>
    <w:p w14:paraId="0EF0D287" w14:textId="77777777" w:rsidR="005B2C1D" w:rsidRPr="00C833AE" w:rsidRDefault="005B2C1D" w:rsidP="00332E00">
      <w:pPr>
        <w:spacing w:after="180" w:line="240" w:lineRule="auto"/>
        <w:jc w:val="left"/>
        <w:rPr>
          <w:rFonts w:eastAsia="MS Mincho"/>
          <w:lang w:val="en-US" w:eastAsia="ja-JP"/>
        </w:rPr>
      </w:pPr>
    </w:p>
    <w:p w14:paraId="47947667" w14:textId="77777777" w:rsidR="00F92471" w:rsidRPr="005B2C1D" w:rsidRDefault="00F92471" w:rsidP="00332E00">
      <w:pPr>
        <w:spacing w:after="180" w:line="240" w:lineRule="auto"/>
        <w:jc w:val="left"/>
        <w:rPr>
          <w:rFonts w:eastAsia="MS Mincho"/>
          <w:lang w:eastAsia="ja-JP"/>
        </w:rPr>
      </w:pPr>
    </w:p>
    <w:p w14:paraId="28CB7C1A" w14:textId="77777777" w:rsidR="00707ACB" w:rsidRDefault="00707ACB" w:rsidP="00707ACB">
      <w:pPr>
        <w:pStyle w:val="1"/>
        <w:rPr>
          <w:lang w:val="en-US"/>
        </w:rPr>
      </w:pPr>
      <w:r>
        <w:rPr>
          <w:lang w:val="en-US" w:eastAsia="ko-KR"/>
        </w:rPr>
        <w:lastRenderedPageBreak/>
        <w:t>3</w:t>
      </w:r>
      <w:r>
        <w:rPr>
          <w:lang w:val="en-US"/>
        </w:rPr>
        <w:t>.</w:t>
      </w:r>
      <w:r>
        <w:rPr>
          <w:lang w:val="en-US"/>
        </w:rPr>
        <w:tab/>
        <w:t>Conclusion</w:t>
      </w:r>
    </w:p>
    <w:p w14:paraId="7BD7CA88" w14:textId="2BBE66AD" w:rsidR="00090871" w:rsidRPr="00090871" w:rsidRDefault="00090871" w:rsidP="00C833AE">
      <w:pPr>
        <w:spacing w:after="180" w:line="240" w:lineRule="auto"/>
        <w:rPr>
          <w:bCs/>
          <w:lang w:val="en-US" w:eastAsia="ko-KR"/>
        </w:rPr>
      </w:pPr>
      <w:r>
        <w:rPr>
          <w:rFonts w:hint="eastAsia"/>
          <w:bCs/>
          <w:lang w:val="en-US" w:eastAsia="ko-KR"/>
        </w:rPr>
        <w:t xml:space="preserve">In this contribution, we presented two possible options to calculate the HARQ process ID for </w:t>
      </w:r>
      <w:r>
        <w:rPr>
          <w:bCs/>
          <w:lang w:val="en-US" w:eastAsia="ko-KR"/>
        </w:rPr>
        <w:t xml:space="preserve">AUL by considering </w:t>
      </w:r>
      <w:r>
        <w:rPr>
          <w:bCs/>
          <w:i/>
          <w:lang w:val="en-US" w:eastAsia="ko-KR"/>
        </w:rPr>
        <w:t>skipping uplink transmission</w:t>
      </w:r>
      <w:r>
        <w:rPr>
          <w:bCs/>
          <w:lang w:val="en-US" w:eastAsia="ko-KR"/>
        </w:rPr>
        <w:t>.</w:t>
      </w:r>
    </w:p>
    <w:p w14:paraId="1695C984" w14:textId="6B81F292" w:rsidR="00C833AE" w:rsidRPr="00583C76" w:rsidRDefault="00C833AE" w:rsidP="00C833AE">
      <w:pPr>
        <w:spacing w:after="180" w:line="240" w:lineRule="auto"/>
        <w:rPr>
          <w:b/>
          <w:bCs/>
          <w:lang w:val="en-US" w:eastAsia="ko-KR"/>
        </w:rPr>
      </w:pPr>
      <w:r>
        <w:rPr>
          <w:b/>
          <w:bCs/>
          <w:lang w:val="en-US" w:eastAsia="ko-KR"/>
        </w:rPr>
        <w:t xml:space="preserve">Proposal. </w:t>
      </w:r>
      <w:r w:rsidRPr="00016D86">
        <w:rPr>
          <w:bCs/>
          <w:lang w:val="en-US" w:eastAsia="ko-KR"/>
        </w:rPr>
        <w:t xml:space="preserve">To discuss whether </w:t>
      </w:r>
      <w:r>
        <w:rPr>
          <w:bCs/>
          <w:lang w:val="en-US" w:eastAsia="ko-KR"/>
        </w:rPr>
        <w:t xml:space="preserve">a </w:t>
      </w:r>
      <w:r w:rsidRPr="00016D86">
        <w:rPr>
          <w:bCs/>
          <w:lang w:val="en-US" w:eastAsia="ko-KR"/>
        </w:rPr>
        <w:t xml:space="preserve">HARQ process ID is associated to a TTI even if the UE skips </w:t>
      </w:r>
      <w:r w:rsidR="00090871">
        <w:rPr>
          <w:bCs/>
          <w:lang w:val="en-US" w:eastAsia="ko-KR"/>
        </w:rPr>
        <w:t>uplink transmission on that TTI. The options are:</w:t>
      </w:r>
    </w:p>
    <w:p w14:paraId="5B82D144" w14:textId="77777777" w:rsidR="00090871" w:rsidRDefault="00090871" w:rsidP="00090871">
      <w:pPr>
        <w:pStyle w:val="a6"/>
        <w:numPr>
          <w:ilvl w:val="0"/>
          <w:numId w:val="23"/>
        </w:numPr>
        <w:spacing w:after="180" w:line="240" w:lineRule="auto"/>
        <w:ind w:leftChars="0"/>
        <w:rPr>
          <w:bCs/>
          <w:lang w:val="en-US" w:eastAsia="ko-KR"/>
        </w:rPr>
      </w:pPr>
      <w:r>
        <w:rPr>
          <w:rFonts w:hint="eastAsia"/>
          <w:bCs/>
          <w:lang w:val="en-US" w:eastAsia="ko-KR"/>
        </w:rPr>
        <w:t xml:space="preserve">Option 1. </w:t>
      </w:r>
      <w:r>
        <w:rPr>
          <w:bCs/>
          <w:lang w:val="en-US" w:eastAsia="ko-KR"/>
        </w:rPr>
        <w:t>Associate a HARQ process ID to a TTI only when there is uplink resource and the UE transmits in uplink on that TTI</w:t>
      </w:r>
    </w:p>
    <w:p w14:paraId="44A2F4C5" w14:textId="77777777" w:rsidR="00090871" w:rsidRDefault="00090871" w:rsidP="00090871">
      <w:pPr>
        <w:pStyle w:val="a6"/>
        <w:numPr>
          <w:ilvl w:val="0"/>
          <w:numId w:val="23"/>
        </w:numPr>
        <w:spacing w:after="180" w:line="240" w:lineRule="auto"/>
        <w:ind w:leftChars="0"/>
        <w:rPr>
          <w:bCs/>
          <w:lang w:val="en-US" w:eastAsia="ko-KR"/>
        </w:rPr>
      </w:pPr>
      <w:r>
        <w:rPr>
          <w:bCs/>
          <w:lang w:val="en-US" w:eastAsia="ko-KR"/>
        </w:rPr>
        <w:t>Option 2. Associate a HARQ process ID to a TTI when there is uplink resource on that TTI regardless of whether the UE transmits in uplink or not on that TTI</w:t>
      </w:r>
    </w:p>
    <w:p w14:paraId="08B95715" w14:textId="0B5F30F4" w:rsidR="00907C38" w:rsidRPr="00090871" w:rsidRDefault="00907C38" w:rsidP="00843C0A">
      <w:pPr>
        <w:spacing w:after="180" w:line="240" w:lineRule="auto"/>
        <w:rPr>
          <w:lang w:val="en-US" w:eastAsia="ko-KR"/>
        </w:rPr>
      </w:pPr>
    </w:p>
    <w:sectPr w:rsidR="00907C38" w:rsidRPr="00090871">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E6B5C" w14:textId="77777777" w:rsidR="0023054A" w:rsidRDefault="0023054A">
      <w:pPr>
        <w:spacing w:after="0"/>
      </w:pPr>
      <w:r>
        <w:separator/>
      </w:r>
    </w:p>
  </w:endnote>
  <w:endnote w:type="continuationSeparator" w:id="0">
    <w:p w14:paraId="5EF2F6EA" w14:textId="77777777" w:rsidR="0023054A" w:rsidRDefault="0023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563D4">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47544" w14:textId="77777777" w:rsidR="0023054A" w:rsidRDefault="0023054A">
      <w:pPr>
        <w:spacing w:after="0"/>
      </w:pPr>
      <w:r>
        <w:separator/>
      </w:r>
    </w:p>
  </w:footnote>
  <w:footnote w:type="continuationSeparator" w:id="0">
    <w:p w14:paraId="66494223" w14:textId="77777777" w:rsidR="0023054A" w:rsidRDefault="002305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964A72"/>
    <w:multiLevelType w:val="hybridMultilevel"/>
    <w:tmpl w:val="A82E9AAC"/>
    <w:lvl w:ilvl="0" w:tplc="3F4259FC">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4">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0">
    <w:nsid w:val="75A16327"/>
    <w:multiLevelType w:val="hybridMultilevel"/>
    <w:tmpl w:val="123841FA"/>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21">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4"/>
  </w:num>
  <w:num w:numId="4">
    <w:abstractNumId w:val="18"/>
  </w:num>
  <w:num w:numId="5">
    <w:abstractNumId w:val="19"/>
  </w:num>
  <w:num w:numId="6">
    <w:abstractNumId w:val="5"/>
  </w:num>
  <w:num w:numId="7">
    <w:abstractNumId w:val="22"/>
  </w:num>
  <w:num w:numId="8">
    <w:abstractNumId w:val="3"/>
  </w:num>
  <w:num w:numId="9">
    <w:abstractNumId w:val="13"/>
  </w:num>
  <w:num w:numId="10">
    <w:abstractNumId w:val="6"/>
  </w:num>
  <w:num w:numId="11">
    <w:abstractNumId w:val="21"/>
  </w:num>
  <w:num w:numId="12">
    <w:abstractNumId w:val="10"/>
  </w:num>
  <w:num w:numId="13">
    <w:abstractNumId w:val="7"/>
  </w:num>
  <w:num w:numId="14">
    <w:abstractNumId w:val="9"/>
  </w:num>
  <w:num w:numId="15">
    <w:abstractNumId w:val="4"/>
  </w:num>
  <w:num w:numId="16">
    <w:abstractNumId w:val="17"/>
  </w:num>
  <w:num w:numId="17">
    <w:abstractNumId w:val="1"/>
  </w:num>
  <w:num w:numId="18">
    <w:abstractNumId w:val="8"/>
  </w:num>
  <w:num w:numId="19">
    <w:abstractNumId w:val="12"/>
  </w:num>
  <w:num w:numId="20">
    <w:abstractNumId w:val="16"/>
  </w:num>
  <w:num w:numId="21">
    <w:abstractNumId w:val="20"/>
  </w:num>
  <w:num w:numId="22">
    <w:abstractNumId w:val="2"/>
  </w:num>
  <w:num w:numId="2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07"/>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263B"/>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871"/>
    <w:rsid w:val="00090F74"/>
    <w:rsid w:val="000916FD"/>
    <w:rsid w:val="000922AD"/>
    <w:rsid w:val="00092C0C"/>
    <w:rsid w:val="00092DA6"/>
    <w:rsid w:val="0009352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CFD"/>
    <w:rsid w:val="000C1F3E"/>
    <w:rsid w:val="000C25DB"/>
    <w:rsid w:val="000C2E5E"/>
    <w:rsid w:val="000C57B2"/>
    <w:rsid w:val="000C5B97"/>
    <w:rsid w:val="000C618E"/>
    <w:rsid w:val="000C6778"/>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6BBF"/>
    <w:rsid w:val="000F0FDC"/>
    <w:rsid w:val="000F1C58"/>
    <w:rsid w:val="000F48D6"/>
    <w:rsid w:val="000F4DB2"/>
    <w:rsid w:val="000F5BAB"/>
    <w:rsid w:val="000F61C9"/>
    <w:rsid w:val="000F7117"/>
    <w:rsid w:val="00100426"/>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46CA6"/>
    <w:rsid w:val="0015302A"/>
    <w:rsid w:val="00154462"/>
    <w:rsid w:val="00155035"/>
    <w:rsid w:val="001563D4"/>
    <w:rsid w:val="00156848"/>
    <w:rsid w:val="00156BDE"/>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3B8F"/>
    <w:rsid w:val="00194F2E"/>
    <w:rsid w:val="00196AEC"/>
    <w:rsid w:val="0019714D"/>
    <w:rsid w:val="0019735B"/>
    <w:rsid w:val="00197FE8"/>
    <w:rsid w:val="001A1173"/>
    <w:rsid w:val="001A34EC"/>
    <w:rsid w:val="001A3837"/>
    <w:rsid w:val="001A3F20"/>
    <w:rsid w:val="001A41C4"/>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3BF"/>
    <w:rsid w:val="001E4C0D"/>
    <w:rsid w:val="001E58A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054A"/>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545C1"/>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5CA9"/>
    <w:rsid w:val="002A7B64"/>
    <w:rsid w:val="002B0B41"/>
    <w:rsid w:val="002B2302"/>
    <w:rsid w:val="002B2FC3"/>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504A"/>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B65"/>
    <w:rsid w:val="00361BBE"/>
    <w:rsid w:val="00361E2C"/>
    <w:rsid w:val="00365372"/>
    <w:rsid w:val="00365E4E"/>
    <w:rsid w:val="003733A5"/>
    <w:rsid w:val="003765F8"/>
    <w:rsid w:val="003775EE"/>
    <w:rsid w:val="003805DE"/>
    <w:rsid w:val="00383586"/>
    <w:rsid w:val="00383F5C"/>
    <w:rsid w:val="00383F98"/>
    <w:rsid w:val="0038410B"/>
    <w:rsid w:val="003841AB"/>
    <w:rsid w:val="00384757"/>
    <w:rsid w:val="00390547"/>
    <w:rsid w:val="00391AF7"/>
    <w:rsid w:val="00392784"/>
    <w:rsid w:val="003934AB"/>
    <w:rsid w:val="00393F35"/>
    <w:rsid w:val="00395B6C"/>
    <w:rsid w:val="0039657E"/>
    <w:rsid w:val="003969F9"/>
    <w:rsid w:val="00396DE3"/>
    <w:rsid w:val="003A17B9"/>
    <w:rsid w:val="003A1EDE"/>
    <w:rsid w:val="003A28A3"/>
    <w:rsid w:val="003A2B29"/>
    <w:rsid w:val="003A4EB9"/>
    <w:rsid w:val="003A75D1"/>
    <w:rsid w:val="003B13C6"/>
    <w:rsid w:val="003B14B9"/>
    <w:rsid w:val="003B1BFA"/>
    <w:rsid w:val="003B28D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0A3"/>
    <w:rsid w:val="00437713"/>
    <w:rsid w:val="0043775A"/>
    <w:rsid w:val="004379AD"/>
    <w:rsid w:val="00440B17"/>
    <w:rsid w:val="00440EE6"/>
    <w:rsid w:val="004411EA"/>
    <w:rsid w:val="00442F91"/>
    <w:rsid w:val="0044377D"/>
    <w:rsid w:val="00443A0F"/>
    <w:rsid w:val="004449B2"/>
    <w:rsid w:val="00444BC1"/>
    <w:rsid w:val="004469CA"/>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22D"/>
    <w:rsid w:val="00477142"/>
    <w:rsid w:val="004774C3"/>
    <w:rsid w:val="0048005E"/>
    <w:rsid w:val="00482774"/>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C53"/>
    <w:rsid w:val="004F1E51"/>
    <w:rsid w:val="004F2F5C"/>
    <w:rsid w:val="004F5DC6"/>
    <w:rsid w:val="004F71EF"/>
    <w:rsid w:val="004F7CD9"/>
    <w:rsid w:val="0050002A"/>
    <w:rsid w:val="0050139C"/>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E43"/>
    <w:rsid w:val="00525FA9"/>
    <w:rsid w:val="005275EB"/>
    <w:rsid w:val="00527842"/>
    <w:rsid w:val="00527C95"/>
    <w:rsid w:val="0053010F"/>
    <w:rsid w:val="005303E5"/>
    <w:rsid w:val="00530463"/>
    <w:rsid w:val="005308AA"/>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47A18"/>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F9D"/>
    <w:rsid w:val="005A6FD5"/>
    <w:rsid w:val="005B0E31"/>
    <w:rsid w:val="005B161B"/>
    <w:rsid w:val="005B1E63"/>
    <w:rsid w:val="005B261C"/>
    <w:rsid w:val="005B2AFF"/>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5C21"/>
    <w:rsid w:val="005D60AE"/>
    <w:rsid w:val="005D6E6D"/>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E9"/>
    <w:rsid w:val="00621B9E"/>
    <w:rsid w:val="00622D7C"/>
    <w:rsid w:val="00623B69"/>
    <w:rsid w:val="00623C5F"/>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879"/>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5946"/>
    <w:rsid w:val="00687C11"/>
    <w:rsid w:val="00690CF7"/>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132"/>
    <w:rsid w:val="006D1949"/>
    <w:rsid w:val="006D22C9"/>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5DEE"/>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0133"/>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AC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0E66"/>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3C0A"/>
    <w:rsid w:val="0084439C"/>
    <w:rsid w:val="00845467"/>
    <w:rsid w:val="00845607"/>
    <w:rsid w:val="00845622"/>
    <w:rsid w:val="008461F0"/>
    <w:rsid w:val="008469C9"/>
    <w:rsid w:val="00847F3A"/>
    <w:rsid w:val="00850946"/>
    <w:rsid w:val="0085132B"/>
    <w:rsid w:val="0085475A"/>
    <w:rsid w:val="00855164"/>
    <w:rsid w:val="00855D7B"/>
    <w:rsid w:val="00856558"/>
    <w:rsid w:val="00860DAD"/>
    <w:rsid w:val="008664C7"/>
    <w:rsid w:val="008669C3"/>
    <w:rsid w:val="00867567"/>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5728"/>
    <w:rsid w:val="008E6CA6"/>
    <w:rsid w:val="008E77B6"/>
    <w:rsid w:val="008F0889"/>
    <w:rsid w:val="008F08D7"/>
    <w:rsid w:val="008F0BF8"/>
    <w:rsid w:val="008F247B"/>
    <w:rsid w:val="008F36D2"/>
    <w:rsid w:val="008F53F4"/>
    <w:rsid w:val="0090116F"/>
    <w:rsid w:val="00902E29"/>
    <w:rsid w:val="00907C38"/>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6A6"/>
    <w:rsid w:val="009C4BEE"/>
    <w:rsid w:val="009C599A"/>
    <w:rsid w:val="009C5FDC"/>
    <w:rsid w:val="009C7881"/>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4CCC"/>
    <w:rsid w:val="00A6510B"/>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738"/>
    <w:rsid w:val="00A90BDE"/>
    <w:rsid w:val="00A90C55"/>
    <w:rsid w:val="00A92239"/>
    <w:rsid w:val="00A92D10"/>
    <w:rsid w:val="00A92FB4"/>
    <w:rsid w:val="00A95016"/>
    <w:rsid w:val="00A961DA"/>
    <w:rsid w:val="00A962EE"/>
    <w:rsid w:val="00A969F0"/>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352D"/>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3FD"/>
    <w:rsid w:val="00AD7D04"/>
    <w:rsid w:val="00AE021A"/>
    <w:rsid w:val="00AE0595"/>
    <w:rsid w:val="00AE1CFB"/>
    <w:rsid w:val="00AE1E36"/>
    <w:rsid w:val="00AE23B9"/>
    <w:rsid w:val="00AE2FEE"/>
    <w:rsid w:val="00AE534E"/>
    <w:rsid w:val="00AE5D32"/>
    <w:rsid w:val="00AE6DE5"/>
    <w:rsid w:val="00AE791D"/>
    <w:rsid w:val="00AF1920"/>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3347"/>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3E37"/>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086"/>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0F45"/>
    <w:rsid w:val="00BF13F9"/>
    <w:rsid w:val="00BF2351"/>
    <w:rsid w:val="00BF2893"/>
    <w:rsid w:val="00BF375A"/>
    <w:rsid w:val="00BF58E6"/>
    <w:rsid w:val="00BF5B84"/>
    <w:rsid w:val="00BF5E90"/>
    <w:rsid w:val="00BF6174"/>
    <w:rsid w:val="00BF65C6"/>
    <w:rsid w:val="00BF78B7"/>
    <w:rsid w:val="00BF79B8"/>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1320"/>
    <w:rsid w:val="00C327AB"/>
    <w:rsid w:val="00C358FF"/>
    <w:rsid w:val="00C364C7"/>
    <w:rsid w:val="00C36EFA"/>
    <w:rsid w:val="00C4034D"/>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FA7"/>
    <w:rsid w:val="00C754D8"/>
    <w:rsid w:val="00C77D35"/>
    <w:rsid w:val="00C803DC"/>
    <w:rsid w:val="00C8293B"/>
    <w:rsid w:val="00C833AE"/>
    <w:rsid w:val="00C86467"/>
    <w:rsid w:val="00C86BFD"/>
    <w:rsid w:val="00C90258"/>
    <w:rsid w:val="00C911CD"/>
    <w:rsid w:val="00C931D5"/>
    <w:rsid w:val="00C9411F"/>
    <w:rsid w:val="00C94ECB"/>
    <w:rsid w:val="00C978CA"/>
    <w:rsid w:val="00CA10DF"/>
    <w:rsid w:val="00CA3968"/>
    <w:rsid w:val="00CA42F7"/>
    <w:rsid w:val="00CA5DAD"/>
    <w:rsid w:val="00CA78C6"/>
    <w:rsid w:val="00CA7AF5"/>
    <w:rsid w:val="00CB0D6A"/>
    <w:rsid w:val="00CB3124"/>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440"/>
    <w:rsid w:val="00D31728"/>
    <w:rsid w:val="00D32678"/>
    <w:rsid w:val="00D32DC0"/>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707D"/>
    <w:rsid w:val="00DD71E0"/>
    <w:rsid w:val="00DE254F"/>
    <w:rsid w:val="00DE3B92"/>
    <w:rsid w:val="00DE52A1"/>
    <w:rsid w:val="00DE6419"/>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A3B"/>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1195"/>
    <w:rsid w:val="00E332D0"/>
    <w:rsid w:val="00E34E60"/>
    <w:rsid w:val="00E35EB4"/>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202"/>
    <w:rsid w:val="00E54C07"/>
    <w:rsid w:val="00E556A6"/>
    <w:rsid w:val="00E57656"/>
    <w:rsid w:val="00E630C2"/>
    <w:rsid w:val="00E647CD"/>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0912"/>
    <w:rsid w:val="00ED10A2"/>
    <w:rsid w:val="00ED198E"/>
    <w:rsid w:val="00ED1C0D"/>
    <w:rsid w:val="00ED1C6D"/>
    <w:rsid w:val="00ED1F60"/>
    <w:rsid w:val="00ED207A"/>
    <w:rsid w:val="00ED27A6"/>
    <w:rsid w:val="00ED4508"/>
    <w:rsid w:val="00ED68EF"/>
    <w:rsid w:val="00ED71B3"/>
    <w:rsid w:val="00ED7220"/>
    <w:rsid w:val="00EE043A"/>
    <w:rsid w:val="00EE164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26FA"/>
    <w:rsid w:val="00F053CC"/>
    <w:rsid w:val="00F05B40"/>
    <w:rsid w:val="00F07025"/>
    <w:rsid w:val="00F072A0"/>
    <w:rsid w:val="00F11079"/>
    <w:rsid w:val="00F11D90"/>
    <w:rsid w:val="00F121B7"/>
    <w:rsid w:val="00F130CF"/>
    <w:rsid w:val="00F133E8"/>
    <w:rsid w:val="00F13476"/>
    <w:rsid w:val="00F136B6"/>
    <w:rsid w:val="00F155AB"/>
    <w:rsid w:val="00F1695F"/>
    <w:rsid w:val="00F17AB7"/>
    <w:rsid w:val="00F17F22"/>
    <w:rsid w:val="00F20CCB"/>
    <w:rsid w:val="00F245E6"/>
    <w:rsid w:val="00F24641"/>
    <w:rsid w:val="00F2528C"/>
    <w:rsid w:val="00F26F33"/>
    <w:rsid w:val="00F276CC"/>
    <w:rsid w:val="00F27CF9"/>
    <w:rsid w:val="00F27EA3"/>
    <w:rsid w:val="00F30797"/>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2471"/>
    <w:rsid w:val="00F94565"/>
    <w:rsid w:val="00F95C1D"/>
    <w:rsid w:val="00F96709"/>
    <w:rsid w:val="00F97C5D"/>
    <w:rsid w:val="00FA0FCA"/>
    <w:rsid w:val="00FA1102"/>
    <w:rsid w:val="00FA1BCF"/>
    <w:rsid w:val="00FA1CD8"/>
    <w:rsid w:val="00FA2CC9"/>
    <w:rsid w:val="00FA2F7F"/>
    <w:rsid w:val="00FA4CE8"/>
    <w:rsid w:val="00FA519F"/>
    <w:rsid w:val="00FB47D5"/>
    <w:rsid w:val="00FB7C6A"/>
    <w:rsid w:val="00FC00F7"/>
    <w:rsid w:val="00FC0715"/>
    <w:rsid w:val="00FC078C"/>
    <w:rsid w:val="00FC192E"/>
    <w:rsid w:val="00FC4FE3"/>
    <w:rsid w:val="00FC6BE6"/>
    <w:rsid w:val="00FC7839"/>
    <w:rsid w:val="00FD123C"/>
    <w:rsid w:val="00FD4A33"/>
    <w:rsid w:val="00FD5D7D"/>
    <w:rsid w:val="00FD69F7"/>
    <w:rsid w:val="00FD6CD1"/>
    <w:rsid w:val="00FD710D"/>
    <w:rsid w:val="00FE0BF0"/>
    <w:rsid w:val="00FE1A6A"/>
    <w:rsid w:val="00FE2C8D"/>
    <w:rsid w:val="00FE3AC1"/>
    <w:rsid w:val="00FE4E63"/>
    <w:rsid w:val="00FE5782"/>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2D59C-72E5-4620-ACD7-008666861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937</Words>
  <Characters>5346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2</cp:revision>
  <dcterms:created xsi:type="dcterms:W3CDTF">2017-11-17T06:01:00Z</dcterms:created>
  <dcterms:modified xsi:type="dcterms:W3CDTF">2017-11-17T06:01:00Z</dcterms:modified>
</cp:coreProperties>
</file>